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7A7F" w14:textId="77777777" w:rsidR="007B2D5B" w:rsidRDefault="00D47F0B">
      <w:r w:rsidRPr="000625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703758" wp14:editId="0B0803D6">
            <wp:simplePos x="0" y="0"/>
            <wp:positionH relativeFrom="page">
              <wp:posOffset>3037205</wp:posOffset>
            </wp:positionH>
            <wp:positionV relativeFrom="paragraph">
              <wp:posOffset>361315</wp:posOffset>
            </wp:positionV>
            <wp:extent cx="1884045" cy="7810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55B">
        <w:rPr>
          <w:rFonts w:ascii="Times Uzb Roman" w:hAnsi="Times Uzb Roman"/>
          <w:b/>
          <w:noProof/>
          <w:color w:val="00009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87EC8D" wp14:editId="728AC5D2">
            <wp:simplePos x="0" y="0"/>
            <wp:positionH relativeFrom="column">
              <wp:posOffset>3968115</wp:posOffset>
            </wp:positionH>
            <wp:positionV relativeFrom="paragraph">
              <wp:posOffset>343543</wp:posOffset>
            </wp:positionV>
            <wp:extent cx="1932323" cy="8489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23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25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D3F902" wp14:editId="6F0494F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534795" cy="795655"/>
            <wp:effectExtent l="0" t="0" r="8255" b="4445"/>
            <wp:wrapTight wrapText="bothSides">
              <wp:wrapPolygon edited="0">
                <wp:start x="268" y="0"/>
                <wp:lineTo x="0" y="18101"/>
                <wp:lineTo x="2949" y="21204"/>
                <wp:lineTo x="4558" y="21204"/>
                <wp:lineTo x="17158" y="21204"/>
                <wp:lineTo x="18499" y="21204"/>
                <wp:lineTo x="21448" y="18101"/>
                <wp:lineTo x="21448" y="3620"/>
                <wp:lineTo x="2413" y="0"/>
                <wp:lineTo x="2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D55FE" w14:textId="77777777" w:rsidR="00D47F0B" w:rsidRDefault="00D47F0B" w:rsidP="00D47F0B"/>
    <w:p w14:paraId="77F8D4C6" w14:textId="77777777" w:rsidR="00D47F0B" w:rsidRDefault="00D47F0B" w:rsidP="00D47F0B"/>
    <w:p w14:paraId="2007B887" w14:textId="77777777" w:rsidR="00D47F0B" w:rsidRPr="00D47F0B" w:rsidRDefault="00D47F0B" w:rsidP="00D47F0B"/>
    <w:p w14:paraId="633ECB9D" w14:textId="77777777" w:rsidR="00D47F0B" w:rsidRPr="00D47F0B" w:rsidRDefault="00D47F0B" w:rsidP="00D47F0B"/>
    <w:p w14:paraId="7B162531" w14:textId="77777777" w:rsidR="00D47F0B" w:rsidRDefault="00D47F0B" w:rsidP="00D47F0B">
      <w:pPr>
        <w:rPr>
          <w:lang w:val="uz-Cyrl-UZ"/>
        </w:rPr>
      </w:pPr>
    </w:p>
    <w:p w14:paraId="1B9DBCDE" w14:textId="77777777" w:rsidR="00CE3EA9" w:rsidRDefault="00CE3EA9" w:rsidP="00D47F0B">
      <w:pPr>
        <w:rPr>
          <w:lang w:val="uz-Cyrl-UZ"/>
        </w:rPr>
      </w:pPr>
    </w:p>
    <w:p w14:paraId="0D635210" w14:textId="77777777" w:rsidR="00CE3EA9" w:rsidRDefault="00CE3EA9" w:rsidP="00D47F0B">
      <w:pPr>
        <w:rPr>
          <w:lang w:val="uz-Cyrl-UZ"/>
        </w:rPr>
      </w:pPr>
    </w:p>
    <w:p w14:paraId="364FF93E" w14:textId="77777777" w:rsidR="00CE3EA9" w:rsidRDefault="00CE3EA9" w:rsidP="00D47F0B">
      <w:pPr>
        <w:rPr>
          <w:lang w:val="uz-Cyrl-UZ"/>
        </w:rPr>
      </w:pPr>
    </w:p>
    <w:p w14:paraId="351999AA" w14:textId="77777777" w:rsidR="00CE3EA9" w:rsidRDefault="00CE3EA9" w:rsidP="00D47F0B">
      <w:pPr>
        <w:rPr>
          <w:lang w:val="uz-Cyrl-UZ"/>
        </w:rPr>
      </w:pPr>
    </w:p>
    <w:p w14:paraId="3228D5F1" w14:textId="77777777" w:rsidR="00CE3EA9" w:rsidRPr="00CE3EA9" w:rsidRDefault="00CE3EA9" w:rsidP="00CE3EA9">
      <w:pPr>
        <w:tabs>
          <w:tab w:val="left" w:pos="3000"/>
        </w:tabs>
        <w:jc w:val="center"/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</w:pPr>
      <w:r w:rsidRPr="00CE3EA9"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  <w:t>"Жамоатчилик фикрини ўрганиш ва шакллантиришнинг долзарб муаммолари:</w:t>
      </w:r>
    </w:p>
    <w:p w14:paraId="63A44774" w14:textId="77777777" w:rsidR="00CE3EA9" w:rsidRDefault="00CE3EA9" w:rsidP="00CE3EA9">
      <w:pPr>
        <w:spacing w:after="0"/>
        <w:ind w:firstLine="567"/>
        <w:jc w:val="center"/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</w:pPr>
      <w:proofErr w:type="spellStart"/>
      <w:r w:rsidRPr="00D47F0B">
        <w:rPr>
          <w:rFonts w:ascii="Monotype Corsiva" w:hAnsi="Monotype Corsiva" w:cs="Times New Roman"/>
          <w:b/>
          <w:bCs/>
          <w:color w:val="7030A0"/>
          <w:sz w:val="48"/>
          <w:szCs w:val="48"/>
        </w:rPr>
        <w:t>назария</w:t>
      </w:r>
      <w:proofErr w:type="spellEnd"/>
      <w:r w:rsidRPr="00D47F0B">
        <w:rPr>
          <w:rFonts w:ascii="Monotype Corsiva" w:hAnsi="Monotype Corsiva" w:cs="Times New Roman"/>
          <w:b/>
          <w:bCs/>
          <w:color w:val="7030A0"/>
          <w:sz w:val="48"/>
          <w:szCs w:val="48"/>
        </w:rPr>
        <w:t xml:space="preserve">, </w:t>
      </w:r>
      <w:proofErr w:type="spellStart"/>
      <w:r w:rsidRPr="00D47F0B">
        <w:rPr>
          <w:rFonts w:ascii="Monotype Corsiva" w:hAnsi="Monotype Corsiva" w:cs="Times New Roman"/>
          <w:b/>
          <w:bCs/>
          <w:color w:val="7030A0"/>
          <w:sz w:val="48"/>
          <w:szCs w:val="48"/>
        </w:rPr>
        <w:t>усуллар</w:t>
      </w:r>
      <w:proofErr w:type="spellEnd"/>
      <w:r w:rsidRPr="00D47F0B">
        <w:rPr>
          <w:rFonts w:ascii="Monotype Corsiva" w:hAnsi="Monotype Corsiva" w:cs="Times New Roman"/>
          <w:b/>
          <w:bCs/>
          <w:color w:val="7030A0"/>
          <w:sz w:val="48"/>
          <w:szCs w:val="48"/>
        </w:rPr>
        <w:t xml:space="preserve">, </w:t>
      </w:r>
      <w:proofErr w:type="spellStart"/>
      <w:r w:rsidRPr="00D47F0B">
        <w:rPr>
          <w:rFonts w:ascii="Monotype Corsiva" w:hAnsi="Monotype Corsiva" w:cs="Times New Roman"/>
          <w:b/>
          <w:bCs/>
          <w:color w:val="7030A0"/>
          <w:sz w:val="48"/>
          <w:szCs w:val="48"/>
        </w:rPr>
        <w:t>амалиёт</w:t>
      </w:r>
      <w:proofErr w:type="spellEnd"/>
      <w:r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  <w:t>”</w:t>
      </w:r>
    </w:p>
    <w:p w14:paraId="3056233B" w14:textId="77777777" w:rsidR="00CE3EA9" w:rsidRDefault="00CE3EA9" w:rsidP="00CE3EA9">
      <w:pPr>
        <w:spacing w:after="0"/>
        <w:ind w:firstLine="567"/>
        <w:jc w:val="center"/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</w:pPr>
    </w:p>
    <w:p w14:paraId="73924C19" w14:textId="77777777" w:rsidR="00CE3EA9" w:rsidRDefault="00CE3EA9" w:rsidP="00CE3EA9">
      <w:pPr>
        <w:rPr>
          <w:lang w:val="uz-Cyrl-UZ"/>
        </w:rPr>
      </w:pPr>
      <w:r>
        <w:rPr>
          <w:rFonts w:ascii="Monotype Corsiva" w:hAnsi="Monotype Corsiva" w:cs="Times New Roman"/>
          <w:b/>
          <w:bCs/>
          <w:color w:val="7030A0"/>
          <w:sz w:val="36"/>
          <w:szCs w:val="36"/>
          <w:lang w:val="uz-Cyrl-UZ"/>
        </w:rPr>
        <w:t xml:space="preserve">                       мавзусидаги </w:t>
      </w:r>
      <w:r w:rsidR="00CE2BA0">
        <w:rPr>
          <w:rFonts w:ascii="Monotype Corsiva" w:hAnsi="Monotype Corsiva" w:cs="Times New Roman"/>
          <w:b/>
          <w:bCs/>
          <w:color w:val="7030A0"/>
          <w:sz w:val="36"/>
          <w:szCs w:val="36"/>
          <w:lang w:val="uz-Cyrl-UZ"/>
        </w:rPr>
        <w:t xml:space="preserve"> </w:t>
      </w:r>
      <w:r>
        <w:rPr>
          <w:rFonts w:ascii="Monotype Corsiva" w:hAnsi="Monotype Corsiva" w:cs="Times New Roman"/>
          <w:b/>
          <w:bCs/>
          <w:color w:val="7030A0"/>
          <w:sz w:val="36"/>
          <w:szCs w:val="36"/>
          <w:lang w:val="uz-Cyrl-UZ"/>
        </w:rPr>
        <w:t>х</w:t>
      </w:r>
      <w:r w:rsidRPr="00D47F0B">
        <w:rPr>
          <w:rFonts w:ascii="Monotype Corsiva" w:hAnsi="Monotype Corsiva" w:cs="Times New Roman"/>
          <w:b/>
          <w:bCs/>
          <w:color w:val="7030A0"/>
          <w:sz w:val="36"/>
          <w:szCs w:val="36"/>
        </w:rPr>
        <w:t>ал</w:t>
      </w:r>
      <w:r w:rsidRPr="00CE3EA9">
        <w:rPr>
          <w:rFonts w:ascii="Times New Roman" w:hAnsi="Times New Roman" w:cs="Times New Roman"/>
          <w:b/>
          <w:bCs/>
          <w:i/>
          <w:color w:val="7030A0"/>
          <w:sz w:val="36"/>
          <w:szCs w:val="36"/>
          <w:lang w:val="uz-Cyrl-UZ"/>
        </w:rPr>
        <w:t>қ</w:t>
      </w:r>
      <w:proofErr w:type="spellStart"/>
      <w:r w:rsidRPr="00D47F0B">
        <w:rPr>
          <w:rFonts w:ascii="Monotype Corsiva" w:hAnsi="Monotype Corsiva" w:cs="Monotype Corsiva"/>
          <w:b/>
          <w:bCs/>
          <w:color w:val="7030A0"/>
          <w:sz w:val="36"/>
          <w:szCs w:val="36"/>
        </w:rPr>
        <w:t>аро</w:t>
      </w:r>
      <w:proofErr w:type="spellEnd"/>
      <w:r w:rsidRPr="00D47F0B">
        <w:rPr>
          <w:rFonts w:ascii="Monotype Corsiva" w:hAnsi="Monotype Corsiva" w:cs="Times New Roman"/>
          <w:b/>
          <w:bCs/>
          <w:color w:val="7030A0"/>
          <w:sz w:val="36"/>
          <w:szCs w:val="36"/>
        </w:rPr>
        <w:t xml:space="preserve"> </w:t>
      </w:r>
      <w:proofErr w:type="spellStart"/>
      <w:r w:rsidRPr="00D47F0B">
        <w:rPr>
          <w:rFonts w:ascii="Monotype Corsiva" w:hAnsi="Monotype Corsiva" w:cs="Monotype Corsiva"/>
          <w:b/>
          <w:bCs/>
          <w:color w:val="7030A0"/>
          <w:sz w:val="36"/>
          <w:szCs w:val="36"/>
        </w:rPr>
        <w:t>илмий</w:t>
      </w:r>
      <w:r w:rsidRPr="00D47F0B">
        <w:rPr>
          <w:rFonts w:ascii="Monotype Corsiva" w:hAnsi="Monotype Corsiva" w:cs="Times New Roman"/>
          <w:b/>
          <w:bCs/>
          <w:color w:val="7030A0"/>
          <w:sz w:val="36"/>
          <w:szCs w:val="36"/>
        </w:rPr>
        <w:t>-</w:t>
      </w:r>
      <w:r w:rsidRPr="00D47F0B">
        <w:rPr>
          <w:rFonts w:ascii="Monotype Corsiva" w:hAnsi="Monotype Corsiva" w:cs="Monotype Corsiva"/>
          <w:b/>
          <w:bCs/>
          <w:color w:val="7030A0"/>
          <w:sz w:val="36"/>
          <w:szCs w:val="36"/>
        </w:rPr>
        <w:t>амалий</w:t>
      </w:r>
      <w:proofErr w:type="spellEnd"/>
      <w:r w:rsidRPr="00D47F0B">
        <w:rPr>
          <w:rFonts w:ascii="Monotype Corsiva" w:hAnsi="Monotype Corsiva" w:cs="Times New Roman"/>
          <w:b/>
          <w:bCs/>
          <w:color w:val="7030A0"/>
          <w:sz w:val="36"/>
          <w:szCs w:val="36"/>
        </w:rPr>
        <w:t xml:space="preserve"> </w:t>
      </w:r>
      <w:r w:rsidRPr="00D47F0B">
        <w:rPr>
          <w:rFonts w:ascii="Monotype Corsiva" w:hAnsi="Monotype Corsiva" w:cs="Monotype Corsiva"/>
          <w:b/>
          <w:bCs/>
          <w:color w:val="7030A0"/>
          <w:sz w:val="36"/>
          <w:szCs w:val="36"/>
        </w:rPr>
        <w:t>семинар</w:t>
      </w:r>
    </w:p>
    <w:p w14:paraId="4E7E47BA" w14:textId="77777777" w:rsidR="00CE3EA9" w:rsidRPr="00CE3EA9" w:rsidRDefault="00CE3EA9" w:rsidP="00D47F0B">
      <w:pPr>
        <w:rPr>
          <w:lang w:val="uz-Cyrl-UZ"/>
        </w:rPr>
      </w:pPr>
    </w:p>
    <w:p w14:paraId="5D929318" w14:textId="77777777" w:rsidR="00D47F0B" w:rsidRPr="00CE3EA9" w:rsidRDefault="00D47F0B" w:rsidP="00D47F0B">
      <w:pPr>
        <w:tabs>
          <w:tab w:val="left" w:pos="3000"/>
        </w:tabs>
        <w:jc w:val="center"/>
        <w:rPr>
          <w:lang w:val="uz-Cyrl-UZ"/>
        </w:rPr>
      </w:pPr>
      <w:r w:rsidRPr="00712285">
        <w:rPr>
          <w:rFonts w:ascii="Monotype Corsiva" w:hAnsi="Monotype Corsiva"/>
          <w:b/>
          <w:color w:val="000099"/>
          <w:sz w:val="72"/>
          <w:szCs w:val="72"/>
          <w:lang w:val="uz-Cyrl-UZ"/>
        </w:rPr>
        <w:t>ПРЕСС – РЕЛИЗ</w:t>
      </w:r>
      <w:r w:rsidR="00CE3EA9">
        <w:rPr>
          <w:rFonts w:ascii="Monotype Corsiva" w:hAnsi="Monotype Corsiva"/>
          <w:b/>
          <w:color w:val="000099"/>
          <w:sz w:val="72"/>
          <w:szCs w:val="72"/>
          <w:lang w:val="uz-Cyrl-UZ"/>
        </w:rPr>
        <w:t>И</w:t>
      </w:r>
    </w:p>
    <w:p w14:paraId="5B21E878" w14:textId="77777777" w:rsidR="00D47F0B" w:rsidRPr="00712285" w:rsidRDefault="00D47F0B" w:rsidP="00D47F0B">
      <w:pPr>
        <w:tabs>
          <w:tab w:val="left" w:pos="3000"/>
        </w:tabs>
        <w:jc w:val="center"/>
        <w:rPr>
          <w:rFonts w:ascii="Monotype Corsiva" w:hAnsi="Monotype Corsiva" w:cs="Times New Roman"/>
          <w:b/>
          <w:bCs/>
          <w:color w:val="7030A0"/>
          <w:sz w:val="48"/>
          <w:szCs w:val="48"/>
          <w:lang w:val="uz-Cyrl-UZ"/>
        </w:rPr>
      </w:pPr>
    </w:p>
    <w:p w14:paraId="3EE01AE3" w14:textId="77777777" w:rsidR="00CE3EA9" w:rsidRPr="00712285" w:rsidRDefault="00CE3EA9" w:rsidP="00CE3EA9">
      <w:pPr>
        <w:tabs>
          <w:tab w:val="left" w:pos="3000"/>
        </w:tabs>
        <w:jc w:val="center"/>
        <w:rPr>
          <w:rFonts w:ascii="Monotype Corsiva" w:hAnsi="Monotype Corsiva" w:cs="Times New Roman"/>
          <w:b/>
          <w:bCs/>
          <w:color w:val="7030A0"/>
          <w:sz w:val="36"/>
          <w:szCs w:val="36"/>
          <w:lang w:val="uz-Cyrl-UZ"/>
        </w:rPr>
      </w:pPr>
    </w:p>
    <w:p w14:paraId="36744165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24FD8BBF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2DE6DFE0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0D2764C7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4D8992D5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31D2E121" w14:textId="77777777" w:rsidR="00D47F0B" w:rsidRPr="00712285" w:rsidRDefault="00D47F0B" w:rsidP="00D47F0B">
      <w:pPr>
        <w:rPr>
          <w:rFonts w:ascii="Monotype Corsiva" w:hAnsi="Monotype Corsiva"/>
          <w:lang w:val="uz-Cyrl-UZ"/>
        </w:rPr>
      </w:pPr>
    </w:p>
    <w:p w14:paraId="02136A1C" w14:textId="77777777" w:rsidR="00D47F0B" w:rsidRPr="00712285" w:rsidRDefault="00D47F0B" w:rsidP="00D47F0B">
      <w:pPr>
        <w:rPr>
          <w:rFonts w:ascii="Monotype Corsiva" w:hAnsi="Monotype Corsiva"/>
          <w:b/>
          <w:bCs/>
          <w:color w:val="7030A0"/>
          <w:lang w:val="uz-Cyrl-UZ"/>
        </w:rPr>
      </w:pPr>
    </w:p>
    <w:p w14:paraId="3DDA73B6" w14:textId="77777777" w:rsidR="00D47F0B" w:rsidRDefault="00D47F0B" w:rsidP="00CE2BA0">
      <w:pPr>
        <w:spacing w:after="0"/>
        <w:jc w:val="center"/>
        <w:rPr>
          <w:rFonts w:ascii="Times Uzb Roman" w:hAnsi="Times Uzb Roman"/>
          <w:b/>
          <w:color w:val="000099"/>
          <w:sz w:val="28"/>
          <w:szCs w:val="28"/>
          <w:lang w:val="uz-Cyrl-UZ"/>
        </w:rPr>
      </w:pPr>
      <w:r w:rsidRPr="00712285">
        <w:rPr>
          <w:rFonts w:ascii="Times Uzb Roman" w:hAnsi="Times Uzb Roman"/>
          <w:b/>
          <w:color w:val="000099"/>
          <w:sz w:val="28"/>
          <w:szCs w:val="28"/>
          <w:lang w:val="uz-Cyrl-UZ"/>
        </w:rPr>
        <w:t>Т</w:t>
      </w:r>
      <w:r>
        <w:rPr>
          <w:rFonts w:ascii="Times Uzb Roman" w:hAnsi="Times Uzb Roman"/>
          <w:b/>
          <w:color w:val="000099"/>
          <w:sz w:val="28"/>
          <w:szCs w:val="28"/>
          <w:lang w:val="uz-Cyrl-UZ"/>
        </w:rPr>
        <w:t>о</w:t>
      </w:r>
      <w:r w:rsidRPr="00712285">
        <w:rPr>
          <w:rFonts w:ascii="Times Uzb Roman" w:hAnsi="Times Uzb Roman"/>
          <w:b/>
          <w:color w:val="000099"/>
          <w:sz w:val="28"/>
          <w:szCs w:val="28"/>
          <w:lang w:val="uz-Cyrl-UZ"/>
        </w:rPr>
        <w:t xml:space="preserve">шкент </w:t>
      </w:r>
      <w:r w:rsidR="00CE3EA9">
        <w:rPr>
          <w:rFonts w:ascii="Times Uzb Roman" w:hAnsi="Times Uzb Roman"/>
          <w:b/>
          <w:color w:val="000099"/>
          <w:sz w:val="28"/>
          <w:szCs w:val="28"/>
          <w:lang w:val="uz-Cyrl-UZ"/>
        </w:rPr>
        <w:t xml:space="preserve">– </w:t>
      </w:r>
      <w:r w:rsidRPr="00712285">
        <w:rPr>
          <w:rFonts w:ascii="Times Uzb Roman" w:hAnsi="Times Uzb Roman"/>
          <w:b/>
          <w:color w:val="000099"/>
          <w:sz w:val="28"/>
          <w:szCs w:val="28"/>
          <w:lang w:val="uz-Cyrl-UZ"/>
        </w:rPr>
        <w:t>2021</w:t>
      </w:r>
    </w:p>
    <w:p w14:paraId="40AF3191" w14:textId="62E0F959" w:rsidR="00D47F0B" w:rsidRPr="0074416A" w:rsidRDefault="0074416A" w:rsidP="0074416A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lastRenderedPageBreak/>
        <w:t xml:space="preserve"> </w:t>
      </w:r>
      <w:r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ab/>
      </w:r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"Ижтим</w:t>
      </w:r>
      <w:r w:rsidR="007F0AC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ои</w:t>
      </w:r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й фикр" республика жамоатчилик фикрини ўрганиш Маркази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,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Ўзбекистон Республикасининг Германия Федератив Республикасидаги элчихонаси</w:t>
      </w:r>
      <w:r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,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халқаро ҳамкорлик доирасида </w:t>
      </w:r>
      <w:r w:rsidR="00D47F0B" w:rsidRPr="0074416A">
        <w:rPr>
          <w:rFonts w:ascii="Times New Roman" w:hAnsi="Times New Roman" w:cs="Times New Roman"/>
          <w:bCs/>
          <w:i/>
          <w:iCs/>
          <w:color w:val="7030A0"/>
          <w:spacing w:val="-4"/>
          <w:sz w:val="32"/>
          <w:szCs w:val="32"/>
          <w:lang w:val="uz-Cyrl-UZ"/>
        </w:rPr>
        <w:t xml:space="preserve">«INSA-CONSULERE» </w:t>
      </w:r>
      <w:r w:rsidR="00D47F0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бозор ва ижтимоий тадқиқотлар институти (Германия), Ўзбекистон социологлари ассоциацияси билан </w:t>
      </w:r>
      <w:r w:rsidR="009B7777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ҳамкорлик</w:t>
      </w:r>
      <w:r w:rsidR="00D47F0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да </w:t>
      </w:r>
      <w:r w:rsidR="009B7777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"Aҳолининг </w:t>
      </w:r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электорал</w:t>
      </w:r>
      <w:r w:rsidR="009B7777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маданияти контекстида жамоатчилик фикрини ўрганиш"</w:t>
      </w:r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  <w:r w:rsidR="009B7777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мавзусида </w:t>
      </w:r>
      <w:r w:rsidR="00D47F0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халқаро илмий-амалий семинар ўтказди</w:t>
      </w:r>
      <w:r w:rsidR="009B7777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.</w:t>
      </w:r>
      <w:r w:rsidR="00D47F0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</w:p>
    <w:p w14:paraId="1C0D5022" w14:textId="77777777" w:rsidR="00C021D5" w:rsidRPr="0074416A" w:rsidRDefault="00C021D5" w:rsidP="0074416A">
      <w:pPr>
        <w:tabs>
          <w:tab w:val="left" w:pos="417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Семинар йиғилишини очар эканлар, 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"И</w:t>
      </w:r>
      <w:r w:rsidR="00B87C4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ж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тимоий </w:t>
      </w:r>
      <w:r w:rsidR="00B87C4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ф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икр" </w:t>
      </w:r>
      <w:r w:rsidR="00B87C4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р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еспублика жамоатчилик фикрини ўрганиш </w:t>
      </w:r>
      <w:r w:rsidR="00B87C4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М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аркази директори, иқтисод</w:t>
      </w:r>
      <w:r w:rsidR="00B87C4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иёт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фанлари доктори Нигина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Рахимова билан 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Тошкент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шаҳри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даги Халқаро Вестминстер университети ректори, Ўзбекистон социологлари ассоциацияси раиси Ба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ҳ</w:t>
      </w:r>
      <w:r w:rsidR="00205A4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ром Миркасимов </w:t>
      </w:r>
      <w:r w:rsidR="00322E4A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сайловолди кампаниясида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сайловчилар фаоллигини оширишга, аҳолининг, хусусан, ёшларнинг электорал маданиятини шакллантиришга, уларда мамлакат сиёсий ҳаётида иштирок этиш кўникмаларини шакллантиришга кўмаклашадиган жамоатчилик фикри сўровларини ўтказишнинг муҳим ва долзарблигини таъкидладилар.</w:t>
      </w:r>
    </w:p>
    <w:p w14:paraId="45C7F4A1" w14:textId="77777777" w:rsidR="002F6151" w:rsidRPr="0074416A" w:rsidRDefault="002F6151" w:rsidP="0074416A">
      <w:pPr>
        <w:tabs>
          <w:tab w:val="left" w:pos="417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2009 йилда ташкил этилган </w:t>
      </w:r>
      <w:r w:rsidRPr="0074416A">
        <w:rPr>
          <w:rFonts w:ascii="Times New Roman" w:hAnsi="Times New Roman"/>
          <w:i/>
          <w:iCs/>
          <w:color w:val="7030A0"/>
          <w:spacing w:val="-4"/>
          <w:sz w:val="32"/>
          <w:szCs w:val="32"/>
          <w:lang w:val="uz-Cyrl-UZ"/>
        </w:rPr>
        <w:t xml:space="preserve">«INSA-CONSULERE»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бозор ва ижтимоий тадқиқотлар институти Германияда жамоатчилик фикрини ўрганиш бўйича етакчи марказлардан бири ҳисобланади.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Институт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сифат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ий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ва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миқдорий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тадқиқотлар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билан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бир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қаторда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сиёсий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-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социологик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сўровлар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ҳам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ўтказади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. Институт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томонидан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ўтказилган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эмпирик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тадқиқотлар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натижаларидан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давлат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ҳокимияти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органлари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,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жумладан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,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парламент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ва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ҳукумат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,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lastRenderedPageBreak/>
        <w:t>шунингдек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,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иқтисодий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,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таҳлилий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ва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илмий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муассасалар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ҳамда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Германия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оммавий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ахборот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воситалари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фаол</w:t>
      </w:r>
      <w:proofErr w:type="spellEnd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  <w:proofErr w:type="spellStart"/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фойдалан</w:t>
      </w:r>
      <w:proofErr w:type="spellEnd"/>
      <w:r w:rsidR="00C021D5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ишади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>.</w:t>
      </w:r>
      <w:r w:rsidR="00E20A3B" w:rsidRPr="0074416A"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</w:t>
      </w:r>
    </w:p>
    <w:p w14:paraId="23009AE2" w14:textId="77777777" w:rsidR="00936882" w:rsidRPr="0074416A" w:rsidRDefault="002F6151" w:rsidP="0074416A">
      <w:pPr>
        <w:tabs>
          <w:tab w:val="left" w:pos="417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 2019 йилда "Ижтимо</w:t>
      </w:r>
      <w:r w:rsidR="0093688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и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й фикр" республика жамоатчилик фикрини ўрганиш Маркази ва </w:t>
      </w:r>
      <w:r w:rsidRPr="0074416A">
        <w:rPr>
          <w:rFonts w:ascii="Times New Roman" w:hAnsi="Times New Roman"/>
          <w:i/>
          <w:iCs/>
          <w:color w:val="7030A0"/>
          <w:spacing w:val="-4"/>
          <w:sz w:val="32"/>
          <w:szCs w:val="32"/>
          <w:lang w:val="uz-Cyrl-UZ"/>
        </w:rPr>
        <w:t xml:space="preserve">«INSA-CONSULERE»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бозор ва ижтимоий тадқиқотлар институти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(Германия)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ўртасида имзоланган ўзаро англашув меморандуми тажриба ва илмий нашрлар алмашинуви, социологларнинг малакасини ошириш, замонавий усулларни ишга 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татбиқ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этиш, 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ҳамкор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ликдаги фаолият ва изланишлар орқали социологик тадқиқотлар ўтказиш услубияти ва амалиётини такомиллаштиришга ёрдам беради.</w:t>
      </w:r>
    </w:p>
    <w:p w14:paraId="69429422" w14:textId="77777777" w:rsidR="00936882" w:rsidRPr="0074416A" w:rsidRDefault="00936882" w:rsidP="0074416A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     Семинар иштирокчилари 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эътиборига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қуйидаги маърузалар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ҳавола этилди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:</w:t>
      </w:r>
    </w:p>
    <w:p w14:paraId="3A39D9DB" w14:textId="77777777" w:rsidR="007F0AC1" w:rsidRPr="0074416A" w:rsidRDefault="00936882" w:rsidP="0074416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- </w:t>
      </w:r>
      <w:r w:rsidR="007F0AC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“Германиядаги сиёсий сайловларни тадқиқ этиш намуналари" «INSA-CONSULERE»  бозор ва ижтимоий тадқиқотлар институти раҳбари  </w:t>
      </w:r>
      <w:r w:rsidR="007F0AC1" w:rsidRPr="0074416A">
        <w:rPr>
          <w:rFonts w:ascii="Times New Roman" w:hAnsi="Times New Roman" w:cs="Times New Roman"/>
          <w:b/>
          <w:bCs/>
          <w:color w:val="7030A0"/>
          <w:sz w:val="32"/>
          <w:szCs w:val="32"/>
          <w:lang w:val="uz-Cyrl-UZ"/>
        </w:rPr>
        <w:t>жаноб Х.Бинкерт (Германия)</w:t>
      </w:r>
    </w:p>
    <w:p w14:paraId="586789EA" w14:textId="77777777" w:rsidR="007F0AC1" w:rsidRPr="0074416A" w:rsidRDefault="00936882" w:rsidP="0074416A">
      <w:pPr>
        <w:tabs>
          <w:tab w:val="left" w:pos="1455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-</w:t>
      </w:r>
      <w:r w:rsidR="007F0AC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"Фуқароларнинг электорал хулқ-атвори социологияси: ўлчаш,  баҳолаш методологияси ҳамда методикаси ва таҳлил"</w:t>
      </w:r>
    </w:p>
    <w:p w14:paraId="1722AA4E" w14:textId="77777777" w:rsidR="00936882" w:rsidRPr="0074416A" w:rsidRDefault="007F0AC1" w:rsidP="0074416A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7030A0"/>
          <w:sz w:val="32"/>
          <w:szCs w:val="32"/>
          <w:lang w:val="uz-Cyrl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"Ижтимоий фикр" республика жамоатчилик фикрини ўрганиш Маркази директорининг амалий тадқиқотлар бўйича ўринбосари - ижрочи директор </w:t>
      </w:r>
      <w:r w:rsidRPr="0074416A">
        <w:rPr>
          <w:rFonts w:ascii="Times New Roman" w:hAnsi="Times New Roman" w:cs="Times New Roman"/>
          <w:b/>
          <w:bCs/>
          <w:color w:val="7030A0"/>
          <w:sz w:val="32"/>
          <w:szCs w:val="32"/>
          <w:lang w:val="uz-Cyrl-UZ"/>
        </w:rPr>
        <w:t xml:space="preserve"> жаноб М.К.Хаджимухамедов </w:t>
      </w:r>
      <w:r w:rsidR="00936882" w:rsidRPr="0074416A">
        <w:rPr>
          <w:rFonts w:ascii="Times New Roman" w:hAnsi="Times New Roman" w:cs="Times New Roman"/>
          <w:b/>
          <w:iCs/>
          <w:color w:val="7030A0"/>
          <w:sz w:val="32"/>
          <w:szCs w:val="32"/>
          <w:lang w:val="uz-Cyrl-UZ"/>
        </w:rPr>
        <w:t>(Ўзбекистон).</w:t>
      </w:r>
    </w:p>
    <w:p w14:paraId="27EC3313" w14:textId="77777777" w:rsidR="00E20A3B" w:rsidRPr="0074416A" w:rsidRDefault="00936882" w:rsidP="0074416A">
      <w:pPr>
        <w:tabs>
          <w:tab w:val="left" w:pos="4170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lang w:val="uz-Latn-UZ"/>
        </w:rPr>
      </w:pP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Семинар 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якунида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ўзаро 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фикр</w:t>
      </w:r>
      <w:r w:rsidR="00AC2CF2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>-мулоҳазалар асосида</w:t>
      </w:r>
      <w:r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жонли мунозара бўлиб ўтди.</w:t>
      </w:r>
      <w:r w:rsidR="00E20A3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  </w:t>
      </w:r>
      <w:r w:rsidR="002F6151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  <w:r w:rsidR="00E20A3B" w:rsidRPr="0074416A">
        <w:rPr>
          <w:rFonts w:ascii="Times New Roman" w:hAnsi="Times New Roman" w:cs="Times New Roman"/>
          <w:i/>
          <w:iCs/>
          <w:color w:val="7030A0"/>
          <w:sz w:val="32"/>
          <w:szCs w:val="32"/>
          <w:lang w:val="uz-Cyrl-UZ"/>
        </w:rPr>
        <w:t xml:space="preserve"> </w:t>
      </w:r>
    </w:p>
    <w:sectPr w:rsidR="00E20A3B" w:rsidRPr="0074416A" w:rsidSect="00CB7747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7F"/>
    <w:rsid w:val="000A65A0"/>
    <w:rsid w:val="00176B6A"/>
    <w:rsid w:val="001A277F"/>
    <w:rsid w:val="00205A41"/>
    <w:rsid w:val="002F6151"/>
    <w:rsid w:val="00322E4A"/>
    <w:rsid w:val="003B0F2D"/>
    <w:rsid w:val="00712285"/>
    <w:rsid w:val="0074416A"/>
    <w:rsid w:val="007B2D5B"/>
    <w:rsid w:val="007F0AC1"/>
    <w:rsid w:val="00936882"/>
    <w:rsid w:val="009B7777"/>
    <w:rsid w:val="00AC2CF2"/>
    <w:rsid w:val="00B87C4B"/>
    <w:rsid w:val="00C021D5"/>
    <w:rsid w:val="00CB7747"/>
    <w:rsid w:val="00CE2BA0"/>
    <w:rsid w:val="00CE3EA9"/>
    <w:rsid w:val="00D47F0B"/>
    <w:rsid w:val="00E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587E"/>
  <w15:docId w15:val="{8846CC31-C32A-4A8B-9BDB-6F80D18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D47F0B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7F0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HR-Gulchehra</dc:creator>
  <cp:keywords/>
  <dc:description/>
  <cp:lastModifiedBy>User</cp:lastModifiedBy>
  <cp:revision>3</cp:revision>
  <cp:lastPrinted>2021-06-28T10:46:00Z</cp:lastPrinted>
  <dcterms:created xsi:type="dcterms:W3CDTF">2021-06-28T10:59:00Z</dcterms:created>
  <dcterms:modified xsi:type="dcterms:W3CDTF">2021-06-28T10:59:00Z</dcterms:modified>
</cp:coreProperties>
</file>